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00C" w:rsidRDefault="001C700C" w:rsidP="001C700C">
      <w:pPr>
        <w:widowControl w:val="0"/>
        <w:autoSpaceDE w:val="0"/>
        <w:autoSpaceDN w:val="0"/>
        <w:adjustRightInd w:val="0"/>
        <w:rPr>
          <w:rFonts w:ascii="Arial" w:hAnsi="Arial" w:cs="Arial"/>
          <w:color w:val="535353"/>
          <w:sz w:val="22"/>
          <w:szCs w:val="22"/>
          <w:lang w:val="es-ES"/>
        </w:rPr>
      </w:pPr>
      <w:r>
        <w:rPr>
          <w:rFonts w:ascii="Arial" w:hAnsi="Arial" w:cs="Arial"/>
          <w:noProof/>
          <w:color w:val="535353"/>
          <w:sz w:val="26"/>
          <w:szCs w:val="26"/>
          <w:lang w:val="es-ES"/>
        </w:rPr>
        <w:drawing>
          <wp:inline distT="0" distB="0" distL="0" distR="0">
            <wp:extent cx="12700" cy="127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hyperlink r:id="rId6" w:history="1">
        <w:r>
          <w:rPr>
            <w:rFonts w:ascii="Arial" w:hAnsi="Arial" w:cs="Arial"/>
            <w:color w:val="535353"/>
            <w:sz w:val="26"/>
            <w:szCs w:val="26"/>
            <w:lang w:val="es-ES"/>
          </w:rPr>
          <w:t>Seleccionar idioma</w:t>
        </w:r>
        <w:r>
          <w:rPr>
            <w:rFonts w:ascii="Arial" w:hAnsi="Arial" w:cs="Arial"/>
            <w:noProof/>
            <w:sz w:val="26"/>
            <w:szCs w:val="26"/>
            <w:lang w:val="es-ES"/>
          </w:rPr>
          <w:drawing>
            <wp:inline distT="0" distB="0" distL="0" distR="0" wp14:anchorId="4A26DFBF" wp14:editId="50627F13">
              <wp:extent cx="12700" cy="127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Pr>
            <w:rFonts w:ascii="Arial" w:hAnsi="Arial" w:cs="Arial"/>
            <w:color w:val="535353"/>
            <w:sz w:val="26"/>
            <w:szCs w:val="26"/>
            <w:lang w:val="es-ES"/>
          </w:rPr>
          <w:t xml:space="preserve"> </w:t>
        </w:r>
        <w:r>
          <w:rPr>
            <w:rFonts w:ascii="Arial" w:hAnsi="Arial" w:cs="Arial"/>
            <w:noProof/>
            <w:sz w:val="26"/>
            <w:szCs w:val="26"/>
            <w:lang w:val="es-ES"/>
          </w:rPr>
          <w:drawing>
            <wp:inline distT="0" distB="0" distL="0" distR="0" wp14:anchorId="6DB1C9D3" wp14:editId="5898A042">
              <wp:extent cx="12700" cy="1270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Pr>
            <w:rFonts w:ascii="Arial" w:hAnsi="Arial" w:cs="Arial"/>
            <w:color w:val="898989"/>
            <w:sz w:val="26"/>
            <w:szCs w:val="26"/>
            <w:lang w:val="es-ES"/>
          </w:rPr>
          <w:t>▼</w:t>
        </w:r>
      </w:hyperlink>
    </w:p>
    <w:p w:rsidR="001C700C" w:rsidRDefault="001C700C" w:rsidP="001C700C">
      <w:pPr>
        <w:widowControl w:val="0"/>
        <w:autoSpaceDE w:val="0"/>
        <w:autoSpaceDN w:val="0"/>
        <w:adjustRightInd w:val="0"/>
        <w:jc w:val="both"/>
        <w:rPr>
          <w:rFonts w:ascii="Verdana" w:hAnsi="Verdana" w:cs="Verdana"/>
          <w:b/>
          <w:bCs/>
          <w:sz w:val="30"/>
          <w:szCs w:val="30"/>
          <w:lang w:val="es-ES"/>
        </w:rPr>
      </w:pPr>
      <w:r>
        <w:rPr>
          <w:rFonts w:ascii="Verdana" w:hAnsi="Verdana" w:cs="Verdana"/>
          <w:b/>
          <w:bCs/>
          <w:sz w:val="30"/>
          <w:szCs w:val="30"/>
          <w:lang w:val="es-ES"/>
        </w:rPr>
        <w:t>CUESTIONARIO DE EVALUACIÓN. CURSO: SENSIBILIZACIÓN EN IGUALDAD DE OPORTUNIDADES. UNIDAD DIDÁCTICA: POLÍTICAS PARA LA IGUALDAD DE OPORTUNIDADES ENTRE MUJERES Y HOMBRES EN NUESTRO PAÍS</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Noteworthy Bold" w:hAnsi="Noteworthy Bold" w:cs="Noteworthy Bold"/>
          <w:sz w:val="22"/>
          <w:szCs w:val="22"/>
          <w:lang w:val="es-ES"/>
        </w:rPr>
        <w:t>﻿</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Pregunta 1</w:t>
      </w:r>
    </w:p>
    <w:p w:rsidR="001C700C" w:rsidRDefault="001C700C" w:rsidP="001C700C">
      <w:pPr>
        <w:widowControl w:val="0"/>
        <w:autoSpaceDE w:val="0"/>
        <w:autoSpaceDN w:val="0"/>
        <w:adjustRightInd w:val="0"/>
        <w:jc w:val="center"/>
        <w:rPr>
          <w:rFonts w:ascii="Verdana" w:hAnsi="Verdana" w:cs="Verdana"/>
          <w:sz w:val="22"/>
          <w:szCs w:val="22"/>
          <w:lang w:val="es-ES"/>
        </w:rPr>
      </w:pPr>
      <w:r>
        <w:rPr>
          <w:rFonts w:ascii="Verdana" w:hAnsi="Verdana" w:cs="Verdana"/>
          <w:b/>
          <w:bCs/>
          <w:color w:val="FFFFFF"/>
          <w:sz w:val="30"/>
          <w:szCs w:val="30"/>
          <w:lang w:val="es-ES"/>
        </w:rPr>
        <w:t>CUESTIONARIO DE EVALUACIÓN</w:t>
      </w:r>
    </w:p>
    <w:p w:rsidR="001C700C" w:rsidRDefault="001C700C" w:rsidP="001C700C">
      <w:pPr>
        <w:widowControl w:val="0"/>
        <w:autoSpaceDE w:val="0"/>
        <w:autoSpaceDN w:val="0"/>
        <w:adjustRightInd w:val="0"/>
        <w:jc w:val="center"/>
        <w:rPr>
          <w:rFonts w:ascii="Verdana" w:hAnsi="Verdana" w:cs="Verdana"/>
          <w:sz w:val="22"/>
          <w:szCs w:val="22"/>
          <w:lang w:val="es-ES"/>
        </w:rPr>
      </w:pPr>
      <w:r>
        <w:rPr>
          <w:rFonts w:ascii="Verdana" w:hAnsi="Verdana" w:cs="Verdana"/>
          <w:b/>
          <w:bCs/>
          <w:color w:val="FFFFFF"/>
          <w:sz w:val="30"/>
          <w:szCs w:val="30"/>
          <w:lang w:val="es-ES"/>
        </w:rPr>
        <w:t>CURSO: SENSIBILIZACIÓN EN IGUALDAD DE OPORTUNIDADES</w:t>
      </w:r>
    </w:p>
    <w:p w:rsidR="001C700C" w:rsidRDefault="001C700C" w:rsidP="001C700C">
      <w:pPr>
        <w:widowControl w:val="0"/>
        <w:autoSpaceDE w:val="0"/>
        <w:autoSpaceDN w:val="0"/>
        <w:adjustRightInd w:val="0"/>
        <w:jc w:val="center"/>
        <w:rPr>
          <w:rFonts w:ascii="Verdana" w:hAnsi="Verdana" w:cs="Verdana"/>
          <w:sz w:val="22"/>
          <w:szCs w:val="22"/>
          <w:lang w:val="es-ES"/>
        </w:rPr>
      </w:pPr>
      <w:r>
        <w:rPr>
          <w:rFonts w:ascii="Verdana" w:hAnsi="Verdana" w:cs="Verdana"/>
          <w:b/>
          <w:bCs/>
          <w:color w:val="FFFFFF"/>
          <w:sz w:val="30"/>
          <w:szCs w:val="30"/>
          <w:lang w:val="es-ES"/>
        </w:rPr>
        <w:t>UNIDAD DIDÁCTICA 3</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Pregunta 1</w:t>
      </w:r>
    </w:p>
    <w:p w:rsidR="001C700C" w:rsidRDefault="001C700C" w:rsidP="001C700C">
      <w:pPr>
        <w:widowControl w:val="0"/>
        <w:autoSpaceDE w:val="0"/>
        <w:autoSpaceDN w:val="0"/>
        <w:adjustRightInd w:val="0"/>
        <w:jc w:val="both"/>
        <w:rPr>
          <w:rFonts w:ascii="Verdana" w:hAnsi="Verdana" w:cs="Verdana"/>
          <w:b/>
          <w:bCs/>
          <w:color w:val="FFFFFF"/>
          <w:lang w:val="es-ES"/>
        </w:rPr>
      </w:pPr>
      <w:r>
        <w:rPr>
          <w:rFonts w:ascii="Verdana" w:hAnsi="Verdana" w:cs="Verdana"/>
          <w:b/>
          <w:bCs/>
          <w:color w:val="FFFFFF"/>
          <w:lang w:val="es-ES"/>
        </w:rPr>
        <w:t>1</w:t>
      </w:r>
    </w:p>
    <w:p w:rsidR="001C700C" w:rsidRDefault="001C700C" w:rsidP="001C700C">
      <w:pPr>
        <w:widowControl w:val="0"/>
        <w:autoSpaceDE w:val="0"/>
        <w:autoSpaceDN w:val="0"/>
        <w:adjustRightInd w:val="0"/>
        <w:jc w:val="both"/>
        <w:rPr>
          <w:rFonts w:ascii="Verdana" w:hAnsi="Verdana" w:cs="Verdana"/>
          <w:b/>
          <w:bCs/>
          <w:lang w:val="es-ES"/>
        </w:rPr>
      </w:pPr>
      <w:r>
        <w:rPr>
          <w:rFonts w:ascii="Verdana" w:hAnsi="Verdana" w:cs="Verdana"/>
          <w:b/>
          <w:bCs/>
          <w:lang w:val="es-ES"/>
        </w:rPr>
        <w:t>1. ¿En qué artículos de nuestra Constitución se recoge el principio de igualdad?</w:t>
      </w:r>
    </w:p>
    <w:p w:rsidR="001C700C" w:rsidRDefault="001C700C" w:rsidP="001C700C">
      <w:pPr>
        <w:widowControl w:val="0"/>
        <w:autoSpaceDE w:val="0"/>
        <w:autoSpaceDN w:val="0"/>
        <w:adjustRightInd w:val="0"/>
        <w:jc w:val="both"/>
        <w:rPr>
          <w:rFonts w:ascii="Verdana" w:hAnsi="Verdana" w:cs="Verdana"/>
          <w:sz w:val="22"/>
          <w:szCs w:val="22"/>
          <w:lang w:val="es-ES"/>
        </w:rPr>
      </w:pPr>
      <w:r w:rsidRPr="001C700C">
        <w:rPr>
          <w:rFonts w:ascii="Verdana" w:hAnsi="Verdana" w:cs="Verdana"/>
          <w:sz w:val="22"/>
          <w:szCs w:val="22"/>
          <w:highlight w:val="green"/>
          <w:lang w:val="es-ES"/>
        </w:rPr>
        <w:t>a) El artículo 14 recoge la igualdad formal y real mientras que el artículo 9.2 obliga a los poderes públicos a intervenir para su consecución.</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b) El artículo 14 recoge la igualdad formal y real.</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c) En múltiples artículos: artículo 1.1, artículo 9.2, artículo 14, artículo 23, artículo 31.1, artículo 32.1, artículo 35, artículo 39,2, artículo 139.1 y artículo 149.1</w:t>
      </w:r>
    </w:p>
    <w:p w:rsidR="001C700C" w:rsidRDefault="001C700C" w:rsidP="001C700C">
      <w:pPr>
        <w:widowControl w:val="0"/>
        <w:autoSpaceDE w:val="0"/>
        <w:autoSpaceDN w:val="0"/>
        <w:adjustRightInd w:val="0"/>
        <w:jc w:val="both"/>
        <w:rPr>
          <w:rFonts w:ascii="Verdana" w:hAnsi="Verdana" w:cs="Verdana"/>
          <w:b/>
          <w:bCs/>
          <w:color w:val="FFFFFF"/>
          <w:lang w:val="es-ES"/>
        </w:rPr>
      </w:pPr>
      <w:r>
        <w:rPr>
          <w:rFonts w:ascii="Verdana" w:hAnsi="Verdana" w:cs="Verdana"/>
          <w:b/>
          <w:bCs/>
          <w:color w:val="FFFFFF"/>
          <w:lang w:val="es-ES"/>
        </w:rPr>
        <w:t>2</w:t>
      </w:r>
    </w:p>
    <w:p w:rsidR="001C700C" w:rsidRDefault="001C700C" w:rsidP="001C700C">
      <w:pPr>
        <w:widowControl w:val="0"/>
        <w:autoSpaceDE w:val="0"/>
        <w:autoSpaceDN w:val="0"/>
        <w:adjustRightInd w:val="0"/>
        <w:jc w:val="both"/>
        <w:rPr>
          <w:rFonts w:ascii="Verdana" w:hAnsi="Verdana" w:cs="Verdana"/>
          <w:b/>
          <w:bCs/>
          <w:lang w:val="es-ES"/>
        </w:rPr>
      </w:pPr>
      <w:r>
        <w:rPr>
          <w:rFonts w:ascii="Verdana" w:hAnsi="Verdana" w:cs="Verdana"/>
          <w:b/>
          <w:bCs/>
          <w:lang w:val="es-ES"/>
        </w:rPr>
        <w:t>2. ¿Qué finalidad tiene un Informe de Impacto de Género?</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a) Detectar las desigualdades de género e incluirlas en los análisis de la situación de partida que acompañan a las propuestas de las diferentes normas, y así, se tengan en cuenta en el proceso de aprobación de las mismas.</w:t>
      </w:r>
    </w:p>
    <w:p w:rsidR="001C700C" w:rsidRDefault="001C700C" w:rsidP="001C700C">
      <w:pPr>
        <w:widowControl w:val="0"/>
        <w:autoSpaceDE w:val="0"/>
        <w:autoSpaceDN w:val="0"/>
        <w:adjustRightInd w:val="0"/>
        <w:jc w:val="both"/>
        <w:rPr>
          <w:rFonts w:ascii="Verdana" w:hAnsi="Verdana" w:cs="Verdana"/>
          <w:sz w:val="22"/>
          <w:szCs w:val="22"/>
          <w:lang w:val="es-ES"/>
        </w:rPr>
      </w:pPr>
      <w:r w:rsidRPr="001C700C">
        <w:rPr>
          <w:rFonts w:ascii="Verdana" w:hAnsi="Verdana" w:cs="Verdana"/>
          <w:sz w:val="22"/>
          <w:szCs w:val="22"/>
          <w:highlight w:val="green"/>
          <w:lang w:val="es-ES"/>
        </w:rPr>
        <w:t>b) Recabar la información necesaria y realizar los análisis necesarios que permitan detectar las desigualdades de género que puedan producirse a lo largo del desarrollo de las normas. A partir de dichos análisis, se plantearán propuestas de reformulación o modificaciones del texto.</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c) Se recogen los resultados y efectos de las disposiciones normativas sobre mujeres y hombres de forma separada una vez que dichas disposiciones han entrado en vigor.</w:t>
      </w:r>
    </w:p>
    <w:p w:rsidR="001C700C" w:rsidRDefault="001C700C" w:rsidP="001C700C">
      <w:pPr>
        <w:widowControl w:val="0"/>
        <w:autoSpaceDE w:val="0"/>
        <w:autoSpaceDN w:val="0"/>
        <w:adjustRightInd w:val="0"/>
        <w:jc w:val="both"/>
        <w:rPr>
          <w:rFonts w:ascii="Verdana" w:hAnsi="Verdana" w:cs="Verdana"/>
          <w:b/>
          <w:bCs/>
          <w:color w:val="FFFFFF"/>
          <w:lang w:val="es-ES"/>
        </w:rPr>
      </w:pPr>
      <w:r>
        <w:rPr>
          <w:rFonts w:ascii="Verdana" w:hAnsi="Verdana" w:cs="Verdana"/>
          <w:b/>
          <w:bCs/>
          <w:color w:val="FFFFFF"/>
          <w:lang w:val="es-ES"/>
        </w:rPr>
        <w:t>3</w:t>
      </w:r>
    </w:p>
    <w:p w:rsidR="001C700C" w:rsidRDefault="001C700C" w:rsidP="001C700C">
      <w:pPr>
        <w:widowControl w:val="0"/>
        <w:autoSpaceDE w:val="0"/>
        <w:autoSpaceDN w:val="0"/>
        <w:adjustRightInd w:val="0"/>
        <w:jc w:val="both"/>
        <w:rPr>
          <w:rFonts w:ascii="Verdana" w:hAnsi="Verdana" w:cs="Verdana"/>
          <w:b/>
          <w:bCs/>
          <w:lang w:val="es-ES"/>
        </w:rPr>
      </w:pPr>
      <w:r>
        <w:rPr>
          <w:rFonts w:ascii="Verdana" w:hAnsi="Verdana" w:cs="Verdana"/>
          <w:b/>
          <w:bCs/>
          <w:lang w:val="es-ES"/>
        </w:rPr>
        <w:t>3. ¿A qué hace referencia la expresión “violencia de género”?</w:t>
      </w:r>
    </w:p>
    <w:p w:rsidR="001C700C" w:rsidRDefault="001C700C" w:rsidP="001C700C">
      <w:pPr>
        <w:widowControl w:val="0"/>
        <w:autoSpaceDE w:val="0"/>
        <w:autoSpaceDN w:val="0"/>
        <w:adjustRightInd w:val="0"/>
        <w:jc w:val="both"/>
        <w:rPr>
          <w:rFonts w:ascii="Verdana" w:hAnsi="Verdana" w:cs="Verdana"/>
          <w:sz w:val="22"/>
          <w:szCs w:val="22"/>
          <w:lang w:val="es-ES"/>
        </w:rPr>
      </w:pPr>
      <w:r w:rsidRPr="001C700C">
        <w:rPr>
          <w:rFonts w:ascii="Verdana" w:hAnsi="Verdana" w:cs="Verdana"/>
          <w:sz w:val="22"/>
          <w:szCs w:val="22"/>
          <w:highlight w:val="green"/>
          <w:lang w:val="es-ES"/>
        </w:rPr>
        <w:t>a) Es una manifestación de la sociedad patriarcal en la que vivimos donde las mujeres se encuentran en situación de discriminación respecto a los hombres.</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b) Se trata de una forma de violencia que se ejerce en el ámbito familiar o de pareja.</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c) Se trata de una forma de violencia que se ejerce en el ámbito familiar y laboral como consecuencia de las relaciones de poder existentes, en las que las mujeres, se encuentran en inferioridad de condiciones.</w:t>
      </w:r>
    </w:p>
    <w:p w:rsidR="001C700C" w:rsidRDefault="001C700C" w:rsidP="001C700C">
      <w:pPr>
        <w:widowControl w:val="0"/>
        <w:autoSpaceDE w:val="0"/>
        <w:autoSpaceDN w:val="0"/>
        <w:adjustRightInd w:val="0"/>
        <w:jc w:val="both"/>
        <w:rPr>
          <w:rFonts w:ascii="Verdana" w:hAnsi="Verdana" w:cs="Verdana"/>
          <w:b/>
          <w:bCs/>
          <w:color w:val="FFFFFF"/>
          <w:lang w:val="es-ES"/>
        </w:rPr>
      </w:pPr>
      <w:r>
        <w:rPr>
          <w:rFonts w:ascii="Verdana" w:hAnsi="Verdana" w:cs="Verdana"/>
          <w:b/>
          <w:bCs/>
          <w:color w:val="FFFFFF"/>
          <w:lang w:val="es-ES"/>
        </w:rPr>
        <w:t>4</w:t>
      </w:r>
    </w:p>
    <w:p w:rsidR="001C700C" w:rsidRDefault="001C700C" w:rsidP="001C700C">
      <w:pPr>
        <w:widowControl w:val="0"/>
        <w:autoSpaceDE w:val="0"/>
        <w:autoSpaceDN w:val="0"/>
        <w:adjustRightInd w:val="0"/>
        <w:jc w:val="both"/>
        <w:rPr>
          <w:rFonts w:ascii="Verdana" w:hAnsi="Verdana" w:cs="Verdana"/>
          <w:b/>
          <w:bCs/>
          <w:lang w:val="es-ES"/>
        </w:rPr>
      </w:pPr>
      <w:r>
        <w:rPr>
          <w:rFonts w:ascii="Verdana" w:hAnsi="Verdana" w:cs="Verdana"/>
          <w:b/>
          <w:bCs/>
          <w:lang w:val="es-ES"/>
        </w:rPr>
        <w:lastRenderedPageBreak/>
        <w:t>4. ¿Qué pretende la Ley Orgánica 1/2004, de 28 de diciembre, de Medidas de Protección Integral contra la violencia de género?</w:t>
      </w:r>
    </w:p>
    <w:p w:rsidR="001C700C" w:rsidRDefault="001C700C" w:rsidP="001C700C">
      <w:pPr>
        <w:widowControl w:val="0"/>
        <w:autoSpaceDE w:val="0"/>
        <w:autoSpaceDN w:val="0"/>
        <w:adjustRightInd w:val="0"/>
        <w:jc w:val="both"/>
        <w:rPr>
          <w:rFonts w:ascii="Verdana" w:hAnsi="Verdana" w:cs="Verdana"/>
          <w:sz w:val="22"/>
          <w:szCs w:val="22"/>
          <w:lang w:val="es-ES"/>
        </w:rPr>
      </w:pPr>
      <w:r w:rsidRPr="001C700C">
        <w:rPr>
          <w:rFonts w:ascii="Verdana" w:hAnsi="Verdana" w:cs="Verdana"/>
          <w:sz w:val="22"/>
          <w:szCs w:val="22"/>
          <w:highlight w:val="green"/>
          <w:lang w:val="es-ES"/>
        </w:rPr>
        <w:t>a) Responder a la lacra que supone la violencia de género desde todos los ámbitos de la sociedad y, para ello, recoge medidas en el ámbito educativo, sanitario, jurídico, laboral, medios de comunicación…</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b) La puesta en marcha de medidas de protección a las mujeres víctimas de violencia de género y sus hijas e hijos.</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c) La puesta en marcha de órganos e instrumentos de carácter jurídico que permitan una pronta respuesta ante los casos de violencia de género.</w:t>
      </w:r>
    </w:p>
    <w:p w:rsidR="001C700C" w:rsidRDefault="001C700C" w:rsidP="001C700C">
      <w:pPr>
        <w:widowControl w:val="0"/>
        <w:autoSpaceDE w:val="0"/>
        <w:autoSpaceDN w:val="0"/>
        <w:adjustRightInd w:val="0"/>
        <w:jc w:val="both"/>
        <w:rPr>
          <w:rFonts w:ascii="Verdana" w:hAnsi="Verdana" w:cs="Verdana"/>
          <w:b/>
          <w:bCs/>
          <w:color w:val="FFFFFF"/>
          <w:lang w:val="es-ES"/>
        </w:rPr>
      </w:pPr>
      <w:r>
        <w:rPr>
          <w:rFonts w:ascii="Verdana" w:hAnsi="Verdana" w:cs="Verdana"/>
          <w:b/>
          <w:bCs/>
          <w:color w:val="FFFFFF"/>
          <w:lang w:val="es-ES"/>
        </w:rPr>
        <w:t>5</w:t>
      </w:r>
    </w:p>
    <w:p w:rsidR="001C700C" w:rsidRDefault="001C700C" w:rsidP="001C700C">
      <w:pPr>
        <w:widowControl w:val="0"/>
        <w:autoSpaceDE w:val="0"/>
        <w:autoSpaceDN w:val="0"/>
        <w:adjustRightInd w:val="0"/>
        <w:jc w:val="both"/>
        <w:rPr>
          <w:rFonts w:ascii="Verdana" w:hAnsi="Verdana" w:cs="Verdana"/>
          <w:b/>
          <w:bCs/>
          <w:lang w:val="es-ES"/>
        </w:rPr>
      </w:pPr>
      <w:r>
        <w:rPr>
          <w:rFonts w:ascii="Verdana" w:hAnsi="Verdana" w:cs="Verdana"/>
          <w:b/>
          <w:bCs/>
          <w:lang w:val="es-ES"/>
        </w:rPr>
        <w:t>5. ¿En qué está basada la Ley Orgánica 3/2007, de 22 de marzo, para la igualdad efectiva de mujeres y hombres? (respuesta múltiple)</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a) En los artículos 9.2 y 14 de nuestra Constitución.</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b) En los avances relativos al principio jurídico de igualdad entre mujeres y hombres planteados en los distintos Tratados Internaciones y Conferencias Mundiales de Naciones Unidas y la normativa desarrollada en torno a dicho principio dentro de la Unión Europea.</w:t>
      </w:r>
    </w:p>
    <w:p w:rsidR="001C700C" w:rsidRDefault="001C700C" w:rsidP="001C700C">
      <w:pPr>
        <w:widowControl w:val="0"/>
        <w:autoSpaceDE w:val="0"/>
        <w:autoSpaceDN w:val="0"/>
        <w:adjustRightInd w:val="0"/>
        <w:jc w:val="both"/>
        <w:rPr>
          <w:rFonts w:ascii="Verdana" w:hAnsi="Verdana" w:cs="Verdana"/>
          <w:sz w:val="22"/>
          <w:szCs w:val="22"/>
          <w:lang w:val="es-ES"/>
        </w:rPr>
      </w:pPr>
      <w:r w:rsidRPr="001C700C">
        <w:rPr>
          <w:rFonts w:ascii="Verdana" w:hAnsi="Verdana" w:cs="Verdana"/>
          <w:sz w:val="22"/>
          <w:szCs w:val="22"/>
          <w:highlight w:val="green"/>
          <w:lang w:val="es-ES"/>
        </w:rPr>
        <w:t>c) Ambas respuestas son correctas.</w:t>
      </w:r>
    </w:p>
    <w:p w:rsidR="001C700C" w:rsidRDefault="001C700C" w:rsidP="001C700C">
      <w:pPr>
        <w:widowControl w:val="0"/>
        <w:autoSpaceDE w:val="0"/>
        <w:autoSpaceDN w:val="0"/>
        <w:adjustRightInd w:val="0"/>
        <w:jc w:val="both"/>
        <w:rPr>
          <w:rFonts w:ascii="Verdana" w:hAnsi="Verdana" w:cs="Verdana"/>
          <w:b/>
          <w:bCs/>
          <w:color w:val="FFFFFF"/>
          <w:lang w:val="es-ES"/>
        </w:rPr>
      </w:pPr>
      <w:r>
        <w:rPr>
          <w:rFonts w:ascii="Verdana" w:hAnsi="Verdana" w:cs="Verdana"/>
          <w:b/>
          <w:bCs/>
          <w:color w:val="FFFFFF"/>
          <w:lang w:val="es-ES"/>
        </w:rPr>
        <w:t>6</w:t>
      </w:r>
    </w:p>
    <w:p w:rsidR="001C700C" w:rsidRDefault="001C700C" w:rsidP="001C700C">
      <w:pPr>
        <w:widowControl w:val="0"/>
        <w:autoSpaceDE w:val="0"/>
        <w:autoSpaceDN w:val="0"/>
        <w:adjustRightInd w:val="0"/>
        <w:jc w:val="both"/>
        <w:rPr>
          <w:rFonts w:ascii="Verdana" w:hAnsi="Verdana" w:cs="Verdana"/>
          <w:b/>
          <w:bCs/>
          <w:lang w:val="es-ES"/>
        </w:rPr>
      </w:pPr>
      <w:r>
        <w:rPr>
          <w:rFonts w:ascii="Verdana" w:hAnsi="Verdana" w:cs="Verdana"/>
          <w:b/>
          <w:bCs/>
          <w:lang w:val="es-ES"/>
        </w:rPr>
        <w:t>6. Según la Ley Orgánica 3/2007, de 22 de marzo, para la Igualdad Efectiva de Mujeres y Hombres tienen consideración de discriminación directa:</w:t>
      </w:r>
    </w:p>
    <w:p w:rsidR="001C700C" w:rsidRDefault="001C700C" w:rsidP="001C700C">
      <w:pPr>
        <w:widowControl w:val="0"/>
        <w:autoSpaceDE w:val="0"/>
        <w:autoSpaceDN w:val="0"/>
        <w:adjustRightInd w:val="0"/>
        <w:jc w:val="both"/>
        <w:rPr>
          <w:rFonts w:ascii="Verdana" w:hAnsi="Verdana" w:cs="Verdana"/>
          <w:sz w:val="22"/>
          <w:szCs w:val="22"/>
          <w:lang w:val="es-ES"/>
        </w:rPr>
      </w:pPr>
      <w:r w:rsidRPr="001C700C">
        <w:rPr>
          <w:rFonts w:ascii="Verdana" w:hAnsi="Verdana" w:cs="Verdana"/>
          <w:sz w:val="22"/>
          <w:szCs w:val="22"/>
          <w:highlight w:val="green"/>
          <w:lang w:val="es-ES"/>
        </w:rPr>
        <w:t>a) La situación en la que se encuentra una persona que en atención a su sexo es, ha sido o pudiera ser tratada de manera menos favorable que otra persona en situación comparable y el acoso sexual y el acoso por razón de sexo.</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b) El acoso sexual y el acoso por razón de sexo.</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c) La situación donde se comprueba que una persona ha sido tratada de forma diferente atendiendo a su sexo.</w:t>
      </w:r>
    </w:p>
    <w:p w:rsidR="001C700C" w:rsidRDefault="001C700C" w:rsidP="001C700C">
      <w:pPr>
        <w:widowControl w:val="0"/>
        <w:autoSpaceDE w:val="0"/>
        <w:autoSpaceDN w:val="0"/>
        <w:adjustRightInd w:val="0"/>
        <w:jc w:val="both"/>
        <w:rPr>
          <w:rFonts w:ascii="Verdana" w:hAnsi="Verdana" w:cs="Verdana"/>
          <w:b/>
          <w:bCs/>
          <w:color w:val="FFFFFF"/>
          <w:lang w:val="es-ES"/>
        </w:rPr>
      </w:pPr>
      <w:r>
        <w:rPr>
          <w:rFonts w:ascii="Verdana" w:hAnsi="Verdana" w:cs="Verdana"/>
          <w:b/>
          <w:bCs/>
          <w:color w:val="FFFFFF"/>
          <w:lang w:val="es-ES"/>
        </w:rPr>
        <w:t>7</w:t>
      </w:r>
    </w:p>
    <w:p w:rsidR="001C700C" w:rsidRDefault="001C700C" w:rsidP="001C700C">
      <w:pPr>
        <w:widowControl w:val="0"/>
        <w:autoSpaceDE w:val="0"/>
        <w:autoSpaceDN w:val="0"/>
        <w:adjustRightInd w:val="0"/>
        <w:jc w:val="both"/>
        <w:rPr>
          <w:rFonts w:ascii="Verdana" w:hAnsi="Verdana" w:cs="Verdana"/>
          <w:b/>
          <w:bCs/>
          <w:lang w:val="es-ES"/>
        </w:rPr>
      </w:pPr>
      <w:r>
        <w:rPr>
          <w:rFonts w:ascii="Verdana" w:hAnsi="Verdana" w:cs="Verdana"/>
          <w:b/>
          <w:bCs/>
          <w:lang w:val="es-ES"/>
        </w:rPr>
        <w:t>7. ¿Cómo define acoso sexual la Ley Orgánica 3/2007, de 22 de marzo, para la Igualdad Efectiva de Mujeres y Hombres?</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a) Como cualquier comportamiento que se realice con el propósito o el efecto de atentar contra su dignidad y de crear un entorno intimidatorio, degradante u ofensivo.</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b) Como la manifestación de una serie de conductas de carácter sexual dirigidas a una persona del entorno laboral.</w:t>
      </w:r>
    </w:p>
    <w:p w:rsidR="001C700C" w:rsidRDefault="001C700C" w:rsidP="001C700C">
      <w:pPr>
        <w:widowControl w:val="0"/>
        <w:autoSpaceDE w:val="0"/>
        <w:autoSpaceDN w:val="0"/>
        <w:adjustRightInd w:val="0"/>
        <w:jc w:val="both"/>
        <w:rPr>
          <w:rFonts w:ascii="Verdana" w:hAnsi="Verdana" w:cs="Verdana"/>
          <w:sz w:val="22"/>
          <w:szCs w:val="22"/>
          <w:lang w:val="es-ES"/>
        </w:rPr>
      </w:pPr>
      <w:r w:rsidRPr="001C700C">
        <w:rPr>
          <w:rFonts w:ascii="Verdana" w:hAnsi="Verdana" w:cs="Verdana"/>
          <w:sz w:val="22"/>
          <w:szCs w:val="22"/>
          <w:highlight w:val="green"/>
          <w:lang w:val="es-ES"/>
        </w:rPr>
        <w:t>c) Como cualquier comportamiento verbal o físico de naturaleza sexual, realizado con el propósito o produzca el efecto de atentar contra la dignidad de una persona, en particular cuando se crea un entorno intimidatorio, degradante u ofensivo.</w:t>
      </w:r>
    </w:p>
    <w:p w:rsidR="001C700C" w:rsidRDefault="001C700C" w:rsidP="001C700C">
      <w:pPr>
        <w:widowControl w:val="0"/>
        <w:autoSpaceDE w:val="0"/>
        <w:autoSpaceDN w:val="0"/>
        <w:adjustRightInd w:val="0"/>
        <w:jc w:val="both"/>
        <w:rPr>
          <w:rFonts w:ascii="Verdana" w:hAnsi="Verdana" w:cs="Verdana"/>
          <w:b/>
          <w:bCs/>
          <w:color w:val="FFFFFF"/>
          <w:lang w:val="es-ES"/>
        </w:rPr>
      </w:pPr>
      <w:r>
        <w:rPr>
          <w:rFonts w:ascii="Verdana" w:hAnsi="Verdana" w:cs="Verdana"/>
          <w:b/>
          <w:bCs/>
          <w:color w:val="FFFFFF"/>
          <w:lang w:val="es-ES"/>
        </w:rPr>
        <w:t>8</w:t>
      </w:r>
    </w:p>
    <w:p w:rsidR="001C700C" w:rsidRDefault="001C700C" w:rsidP="001C700C">
      <w:pPr>
        <w:widowControl w:val="0"/>
        <w:autoSpaceDE w:val="0"/>
        <w:autoSpaceDN w:val="0"/>
        <w:adjustRightInd w:val="0"/>
        <w:jc w:val="both"/>
        <w:rPr>
          <w:rFonts w:ascii="Verdana" w:hAnsi="Verdana" w:cs="Verdana"/>
          <w:b/>
          <w:bCs/>
          <w:lang w:val="es-ES"/>
        </w:rPr>
      </w:pPr>
      <w:r>
        <w:rPr>
          <w:rFonts w:ascii="Verdana" w:hAnsi="Verdana" w:cs="Verdana"/>
          <w:b/>
          <w:bCs/>
          <w:lang w:val="es-ES"/>
        </w:rPr>
        <w:t>8. El observatorio de Violencia sobre la mujer se crea para:</w:t>
      </w:r>
    </w:p>
    <w:p w:rsidR="001C700C" w:rsidRDefault="001C700C" w:rsidP="001C700C">
      <w:pPr>
        <w:widowControl w:val="0"/>
        <w:autoSpaceDE w:val="0"/>
        <w:autoSpaceDN w:val="0"/>
        <w:adjustRightInd w:val="0"/>
        <w:jc w:val="both"/>
        <w:rPr>
          <w:rFonts w:ascii="Verdana" w:hAnsi="Verdana" w:cs="Verdana"/>
          <w:sz w:val="22"/>
          <w:szCs w:val="22"/>
          <w:lang w:val="es-ES"/>
        </w:rPr>
      </w:pPr>
      <w:r w:rsidRPr="001C700C">
        <w:rPr>
          <w:rFonts w:ascii="Verdana" w:hAnsi="Verdana" w:cs="Verdana"/>
          <w:sz w:val="22"/>
          <w:szCs w:val="22"/>
          <w:highlight w:val="green"/>
          <w:lang w:val="es-ES"/>
        </w:rPr>
        <w:t>a) Impulsar la creación de políticas públicas dirigidas a ofrecer tutela a las víctimas de violencia de género.</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b) Evaluación de las medidas incluidas en la Ley Orgánica 1/2004, de 28 de diciembre, de las Medidas de Protección Integral contra la Violencia de Género.</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c) Velar por la puesta en marcha y desarrollo de las Medidas de Protección Integral contra la Violencia de Género que marca la Ley</w:t>
      </w:r>
    </w:p>
    <w:p w:rsidR="001C700C" w:rsidRDefault="001C700C" w:rsidP="001C700C">
      <w:pPr>
        <w:widowControl w:val="0"/>
        <w:autoSpaceDE w:val="0"/>
        <w:autoSpaceDN w:val="0"/>
        <w:adjustRightInd w:val="0"/>
        <w:jc w:val="both"/>
        <w:rPr>
          <w:rFonts w:ascii="Verdana" w:hAnsi="Verdana" w:cs="Verdana"/>
          <w:b/>
          <w:bCs/>
          <w:color w:val="FFFFFF"/>
          <w:lang w:val="es-ES"/>
        </w:rPr>
      </w:pPr>
      <w:r>
        <w:rPr>
          <w:rFonts w:ascii="Verdana" w:hAnsi="Verdana" w:cs="Verdana"/>
          <w:b/>
          <w:bCs/>
          <w:color w:val="FFFFFF"/>
          <w:lang w:val="es-ES"/>
        </w:rPr>
        <w:t>9</w:t>
      </w:r>
    </w:p>
    <w:p w:rsidR="001C700C" w:rsidRDefault="001C700C" w:rsidP="001C700C">
      <w:pPr>
        <w:widowControl w:val="0"/>
        <w:autoSpaceDE w:val="0"/>
        <w:autoSpaceDN w:val="0"/>
        <w:adjustRightInd w:val="0"/>
        <w:jc w:val="both"/>
        <w:rPr>
          <w:rFonts w:ascii="Verdana" w:hAnsi="Verdana" w:cs="Verdana"/>
          <w:b/>
          <w:bCs/>
          <w:lang w:val="es-ES"/>
        </w:rPr>
      </w:pPr>
      <w:r>
        <w:rPr>
          <w:rFonts w:ascii="Verdana" w:hAnsi="Verdana" w:cs="Verdana"/>
          <w:b/>
          <w:bCs/>
          <w:lang w:val="es-ES"/>
        </w:rPr>
        <w:t>9. La Ley Orgánica 3/2007 de 22 de marzo, para la Igualdad efectiva de mujeres y hombres, en lo relativo a la conciliación de la vida personal, familiar y laboral ha supuesto un avance</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a) Al reconocer los supuestos de nacimiento de hijo o hija, adopción o acogimiento, un permiso de paternidad con un máximo de duración de 13 días, incluidos los dos días del vigente hasta el momento.</w:t>
      </w:r>
    </w:p>
    <w:p w:rsidR="001C700C" w:rsidRDefault="001C700C" w:rsidP="001C700C">
      <w:pPr>
        <w:widowControl w:val="0"/>
        <w:autoSpaceDE w:val="0"/>
        <w:autoSpaceDN w:val="0"/>
        <w:adjustRightInd w:val="0"/>
        <w:jc w:val="both"/>
        <w:rPr>
          <w:rFonts w:ascii="Verdana" w:hAnsi="Verdana" w:cs="Verdana"/>
          <w:sz w:val="22"/>
          <w:szCs w:val="22"/>
          <w:lang w:val="es-ES"/>
        </w:rPr>
      </w:pPr>
      <w:r w:rsidRPr="001C700C">
        <w:rPr>
          <w:rFonts w:ascii="Verdana" w:hAnsi="Verdana" w:cs="Verdana"/>
          <w:sz w:val="22"/>
          <w:szCs w:val="22"/>
          <w:highlight w:val="green"/>
          <w:lang w:val="es-ES"/>
        </w:rPr>
        <w:t>b) Al reconocer en los supuestos de nacimiento de hijo o hija, adopción o acogimiento, un permiso de paternidad de 13 días, que se suma al vigente hasta el momento de dos días.</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c) Al reconocer en los supuestos de nacimiento de hijo o hija, adopción o acogimiento, un permiso de paternidad de 13 días que se suma al vigente hasta el momento de dos días, siempre que se disfrute de manera simultánea con el permiso de maternidad del otro u otra progenitora.</w:t>
      </w:r>
    </w:p>
    <w:p w:rsidR="001C700C" w:rsidRDefault="001C700C" w:rsidP="001C700C">
      <w:pPr>
        <w:widowControl w:val="0"/>
        <w:autoSpaceDE w:val="0"/>
        <w:autoSpaceDN w:val="0"/>
        <w:adjustRightInd w:val="0"/>
        <w:jc w:val="both"/>
        <w:rPr>
          <w:rFonts w:ascii="Verdana" w:hAnsi="Verdana" w:cs="Verdana"/>
          <w:b/>
          <w:bCs/>
          <w:color w:val="FFFFFF"/>
          <w:lang w:val="es-ES"/>
        </w:rPr>
      </w:pPr>
      <w:r>
        <w:rPr>
          <w:rFonts w:ascii="Verdana" w:hAnsi="Verdana" w:cs="Verdana"/>
          <w:b/>
          <w:bCs/>
          <w:color w:val="FFFFFF"/>
          <w:lang w:val="es-ES"/>
        </w:rPr>
        <w:t>10</w:t>
      </w:r>
    </w:p>
    <w:p w:rsidR="001C700C" w:rsidRDefault="001C700C" w:rsidP="001C700C">
      <w:pPr>
        <w:widowControl w:val="0"/>
        <w:autoSpaceDE w:val="0"/>
        <w:autoSpaceDN w:val="0"/>
        <w:adjustRightInd w:val="0"/>
        <w:jc w:val="both"/>
        <w:rPr>
          <w:rFonts w:ascii="Verdana" w:hAnsi="Verdana" w:cs="Verdana"/>
          <w:b/>
          <w:bCs/>
          <w:lang w:val="es-ES"/>
        </w:rPr>
      </w:pPr>
      <w:r>
        <w:rPr>
          <w:rFonts w:ascii="Verdana" w:hAnsi="Verdana" w:cs="Verdana"/>
          <w:b/>
          <w:bCs/>
          <w:lang w:val="es-ES"/>
        </w:rPr>
        <w:t>10. Dentro del ámbito empresarial, la Ley Orgánica 3/2007 de 22 de marzo, para la Igualdad efectiva de mujeres y hombres incluyen medidas en los siguientes ámbitos</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a) Consejos de Administración, adopción de medidas concretas a favor de la igualdad, formuladas y adoptadas en los procesos de negociación colectiva y el reconocimiento del derecho a la conciliación de la vida personal, familiar y laboral.</w:t>
      </w:r>
    </w:p>
    <w:p w:rsidR="001C700C" w:rsidRDefault="001C700C" w:rsidP="001C700C">
      <w:pPr>
        <w:widowControl w:val="0"/>
        <w:autoSpaceDE w:val="0"/>
        <w:autoSpaceDN w:val="0"/>
        <w:adjustRightInd w:val="0"/>
        <w:jc w:val="both"/>
        <w:rPr>
          <w:rFonts w:ascii="Verdana" w:hAnsi="Verdana" w:cs="Verdana"/>
          <w:sz w:val="22"/>
          <w:szCs w:val="22"/>
          <w:lang w:val="es-ES"/>
        </w:rPr>
      </w:pPr>
      <w:r>
        <w:rPr>
          <w:rFonts w:ascii="Verdana" w:hAnsi="Verdana" w:cs="Verdana"/>
          <w:sz w:val="22"/>
          <w:szCs w:val="22"/>
          <w:lang w:val="es-ES"/>
        </w:rPr>
        <w:t>b) Procesos de contratación o subvenciones Públicas.</w:t>
      </w:r>
    </w:p>
    <w:p w:rsidR="001C700C" w:rsidRDefault="001C700C" w:rsidP="001C700C">
      <w:pPr>
        <w:widowControl w:val="0"/>
        <w:autoSpaceDE w:val="0"/>
        <w:autoSpaceDN w:val="0"/>
        <w:adjustRightInd w:val="0"/>
        <w:jc w:val="both"/>
        <w:rPr>
          <w:rFonts w:ascii="Verdana" w:hAnsi="Verdana" w:cs="Verdana"/>
          <w:sz w:val="22"/>
          <w:szCs w:val="22"/>
          <w:lang w:val="es-ES"/>
        </w:rPr>
      </w:pPr>
      <w:bookmarkStart w:id="0" w:name="_GoBack"/>
      <w:bookmarkEnd w:id="0"/>
      <w:r w:rsidRPr="001C700C">
        <w:rPr>
          <w:rFonts w:ascii="Verdana" w:hAnsi="Verdana" w:cs="Verdana"/>
          <w:sz w:val="22"/>
          <w:szCs w:val="22"/>
          <w:highlight w:val="green"/>
          <w:lang w:val="es-ES"/>
        </w:rPr>
        <w:t>c) Ambas respuestas son correctas</w:t>
      </w:r>
    </w:p>
    <w:p w:rsidR="001C700C" w:rsidRDefault="001C700C" w:rsidP="001C700C">
      <w:pPr>
        <w:widowControl w:val="0"/>
        <w:autoSpaceDE w:val="0"/>
        <w:autoSpaceDN w:val="0"/>
        <w:adjustRightInd w:val="0"/>
        <w:jc w:val="both"/>
        <w:rPr>
          <w:rFonts w:ascii="Verdana" w:hAnsi="Verdana" w:cs="Verdana"/>
          <w:sz w:val="22"/>
          <w:szCs w:val="22"/>
          <w:lang w:val="es-ES"/>
        </w:rPr>
      </w:pPr>
    </w:p>
    <w:p w:rsidR="001C700C" w:rsidRDefault="001C700C" w:rsidP="001C700C">
      <w:pPr>
        <w:widowControl w:val="0"/>
        <w:autoSpaceDE w:val="0"/>
        <w:autoSpaceDN w:val="0"/>
        <w:adjustRightInd w:val="0"/>
        <w:jc w:val="both"/>
        <w:rPr>
          <w:rFonts w:ascii="Verdana" w:hAnsi="Verdana" w:cs="Verdana"/>
          <w:sz w:val="22"/>
          <w:szCs w:val="22"/>
          <w:lang w:val="es-ES"/>
        </w:rPr>
      </w:pPr>
    </w:p>
    <w:p w:rsidR="001C700C" w:rsidRDefault="001C700C" w:rsidP="001C700C">
      <w:pPr>
        <w:widowControl w:val="0"/>
        <w:autoSpaceDE w:val="0"/>
        <w:autoSpaceDN w:val="0"/>
        <w:adjustRightInd w:val="0"/>
        <w:jc w:val="both"/>
        <w:rPr>
          <w:rFonts w:ascii="Verdana" w:hAnsi="Verdana" w:cs="Verdana"/>
          <w:sz w:val="22"/>
          <w:szCs w:val="22"/>
          <w:lang w:val="es-ES"/>
        </w:rPr>
      </w:pPr>
    </w:p>
    <w:p w:rsidR="001C700C" w:rsidRDefault="001C700C" w:rsidP="001C700C">
      <w:pPr>
        <w:widowControl w:val="0"/>
        <w:autoSpaceDE w:val="0"/>
        <w:autoSpaceDN w:val="0"/>
        <w:adjustRightInd w:val="0"/>
        <w:jc w:val="center"/>
        <w:rPr>
          <w:rFonts w:ascii="Helvetica Neue" w:hAnsi="Helvetica Neue" w:cs="Helvetica Neue"/>
          <w:sz w:val="22"/>
          <w:szCs w:val="22"/>
          <w:lang w:val="es-ES"/>
        </w:rPr>
      </w:pPr>
    </w:p>
    <w:p w:rsidR="001C700C" w:rsidRDefault="001C700C" w:rsidP="001C700C">
      <w:pPr>
        <w:widowControl w:val="0"/>
        <w:autoSpaceDE w:val="0"/>
        <w:autoSpaceDN w:val="0"/>
        <w:adjustRightInd w:val="0"/>
        <w:jc w:val="center"/>
        <w:rPr>
          <w:rFonts w:ascii="Verdana" w:hAnsi="Verdana" w:cs="Verdana"/>
          <w:sz w:val="22"/>
          <w:szCs w:val="22"/>
          <w:lang w:val="es-ES"/>
        </w:rPr>
      </w:pPr>
    </w:p>
    <w:p w:rsidR="001C700C" w:rsidRDefault="001C700C" w:rsidP="001C700C">
      <w:pPr>
        <w:widowControl w:val="0"/>
        <w:autoSpaceDE w:val="0"/>
        <w:autoSpaceDN w:val="0"/>
        <w:adjustRightInd w:val="0"/>
        <w:jc w:val="both"/>
        <w:rPr>
          <w:rFonts w:ascii="Verdana" w:hAnsi="Verdana" w:cs="Verdana"/>
          <w:i/>
          <w:iCs/>
          <w:color w:val="0F7001"/>
          <w:sz w:val="30"/>
          <w:szCs w:val="30"/>
          <w:lang w:val="es-ES"/>
        </w:rPr>
      </w:pPr>
      <w:r>
        <w:rPr>
          <w:rFonts w:ascii="Verdana" w:hAnsi="Verdana" w:cs="Verdana"/>
          <w:i/>
          <w:iCs/>
          <w:color w:val="0F7001"/>
          <w:sz w:val="30"/>
          <w:szCs w:val="30"/>
          <w:lang w:val="es-ES"/>
        </w:rPr>
        <w:t>Test completado</w:t>
      </w:r>
    </w:p>
    <w:p w:rsidR="001C700C" w:rsidRDefault="001C700C" w:rsidP="001C700C">
      <w:pPr>
        <w:widowControl w:val="0"/>
        <w:autoSpaceDE w:val="0"/>
        <w:autoSpaceDN w:val="0"/>
        <w:adjustRightInd w:val="0"/>
        <w:jc w:val="both"/>
        <w:rPr>
          <w:rFonts w:ascii="Verdana" w:hAnsi="Verdana" w:cs="Verdana"/>
          <w:sz w:val="22"/>
          <w:szCs w:val="22"/>
          <w:lang w:val="es-ES"/>
        </w:rPr>
      </w:pPr>
    </w:p>
    <w:p w:rsidR="001C700C" w:rsidRDefault="001C700C" w:rsidP="001C700C">
      <w:pPr>
        <w:widowControl w:val="0"/>
        <w:autoSpaceDE w:val="0"/>
        <w:autoSpaceDN w:val="0"/>
        <w:adjustRightInd w:val="0"/>
        <w:jc w:val="both"/>
        <w:rPr>
          <w:rFonts w:ascii="Verdana" w:hAnsi="Verdana" w:cs="Verdana"/>
          <w:sz w:val="22"/>
          <w:szCs w:val="22"/>
          <w:lang w:val="es-ES"/>
        </w:rPr>
      </w:pPr>
    </w:p>
    <w:p w:rsidR="001C700C" w:rsidRDefault="001C700C" w:rsidP="001C700C">
      <w:pPr>
        <w:widowControl w:val="0"/>
        <w:autoSpaceDE w:val="0"/>
        <w:autoSpaceDN w:val="0"/>
        <w:adjustRightInd w:val="0"/>
        <w:jc w:val="both"/>
        <w:rPr>
          <w:rFonts w:ascii="Verdana" w:hAnsi="Verdana" w:cs="Verdana"/>
          <w:sz w:val="22"/>
          <w:szCs w:val="22"/>
          <w:lang w:val="es-ES"/>
        </w:rPr>
      </w:pPr>
    </w:p>
    <w:p w:rsidR="001C700C" w:rsidRDefault="001C700C" w:rsidP="001C700C">
      <w:pPr>
        <w:widowControl w:val="0"/>
        <w:autoSpaceDE w:val="0"/>
        <w:autoSpaceDN w:val="0"/>
        <w:adjustRightInd w:val="0"/>
        <w:jc w:val="both"/>
        <w:rPr>
          <w:rFonts w:ascii="Verdana" w:hAnsi="Verdana" w:cs="Verdana"/>
          <w:sz w:val="22"/>
          <w:szCs w:val="22"/>
          <w:lang w:val="es-ES"/>
        </w:rPr>
      </w:pPr>
    </w:p>
    <w:p w:rsidR="005C1B7F" w:rsidRDefault="001C700C" w:rsidP="001C700C">
      <w:r>
        <w:rPr>
          <w:rFonts w:ascii="Arial" w:hAnsi="Arial" w:cs="Arial"/>
          <w:color w:val="FFFFFF"/>
          <w:sz w:val="28"/>
          <w:szCs w:val="28"/>
          <w:lang w:val="es-ES"/>
        </w:rPr>
        <w:t>A-AA+</w:t>
      </w:r>
    </w:p>
    <w:sectPr w:rsidR="005C1B7F" w:rsidSect="00284354">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Noteworthy Bold">
    <w:panose1 w:val="02000400000000000000"/>
    <w:charset w:val="00"/>
    <w:family w:val="auto"/>
    <w:pitch w:val="variable"/>
    <w:sig w:usb0="8000006F" w:usb1="08000048" w:usb2="14600000" w:usb3="00000000" w:csb0="00000111" w:csb1="00000000"/>
  </w:font>
  <w:font w:name="Helvetica Neue">
    <w:panose1 w:val="02000503000000020004"/>
    <w:charset w:val="00"/>
    <w:family w:val="auto"/>
    <w:pitch w:val="variable"/>
    <w:sig w:usb0="E50002FF" w:usb1="500079DB" w:usb2="0000001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00C"/>
    <w:rsid w:val="001C700C"/>
    <w:rsid w:val="00284354"/>
    <w:rsid w:val="005C1B7F"/>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6C10F2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C700C"/>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1C700C"/>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C700C"/>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1C700C"/>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gif"/><Relationship Id="rId6" Type="http://schemas.openxmlformats.org/officeDocument/2006/relationships/hyperlink" Target="javascript:void(0)"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944</Words>
  <Characters>5198</Characters>
  <Application>Microsoft Macintosh Word</Application>
  <DocSecurity>0</DocSecurity>
  <Lines>43</Lines>
  <Paragraphs>12</Paragraphs>
  <ScaleCrop>false</ScaleCrop>
  <Company/>
  <LinksUpToDate>false</LinksUpToDate>
  <CharactersWithSpaces>6130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Ernesto Carlos Hurtado García</dc:creator>
  <cp:keywords/>
  <dc:description/>
  <cp:lastModifiedBy>Ernesto Carlos Hurtado García</cp:lastModifiedBy>
  <cp:revision>1</cp:revision>
  <dcterms:created xsi:type="dcterms:W3CDTF">2015-02-03T22:17:00Z</dcterms:created>
  <dcterms:modified xsi:type="dcterms:W3CDTF">2015-02-03T22:19:00Z</dcterms:modified>
</cp:coreProperties>
</file>